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148</w:t>
      </w:r>
    </w:p>
    <w:p>
      <w:r>
        <w:t>Bundesgericht (BGE), 1973-09-10, DE</w:t>
      </w:r>
    </w:p>
    <w:p>
      <w:r>
        <w:rPr>
          <w:b/>
        </w:rPr>
        <w:t xml:space="preserve">Quelle: </w:t>
      </w:r>
      <w:r>
        <w:t>https://mcp.opencaselaw.ch/entscheid/bge_99 IV 148</w:t>
      </w:r>
    </w:p>
    <w:p>
      <w:r>
        <w:t>FR: ATF 99 IV 148</w:t>
      </w:r>
    </w:p>
    <w:p>
      <w:r>
        <w:t>IT: DTF 99 IV 148</w:t>
      </w:r>
    </w:p>
    <w:p>
      <w:pPr>
        <w:pStyle w:val="Heading2"/>
      </w:pPr>
      <w:r>
        <w:t>Regeste</w:t>
      </w:r>
    </w:p>
    <w:p>
      <w:r>
        <w:t>Regeste Art. 173 Ziff. 1 StGB. 1. Diese Bestimmung setzt nicht voraus, dass der Betroffene in der Ausserung namentlich genannt werde; es genügt, dass nach den Umständen erkennbar ist, auf wen sie sich bezieht (Erw. 1). 2. Der Vorwurf, ein Anwalt bringe einen Prozess nur deshalb in Gang, weil er allein daraus einen Nutzen ziehen werde, berührt nicht nur dessen berufliches Ansehen, sondern auch dessen Geltung als ehrbarer Mensch (Erw. 2).</w:t>
      </w:r>
    </w:p>
    <w:p>
      <w:pPr>
        <w:pStyle w:val="Heading2"/>
      </w:pPr>
      <w:r>
        <w:t>Erwägungen</w:t>
      </w:r>
    </w:p>
    <w:p>
      <w:r>
        <w:rPr>
          <w:b/>
        </w:rPr>
        <w:t>E. 1</w:t>
      </w:r>
    </w:p>
    <w:p>
      <w:r>
        <w:t>Der inkriminierte Satz richtete sich nicht allgemein gegen die im fraglichen Erbteilungsprozess tätigen Anwälte, wie der Beschwerdegegner behauptet, sondern gegen Dr. M. Dass der Beschwerdegegner darin den Namen des Vertreters seiner Tante nicht erwähnt hat, ändert nichts. Art. 173 StGB setzt nicht voraus, dass der Betroffene in der Äusserung namentlich genannt werde. Es genügt, dass nach den Umständen erkennbar ist, auf wen sie sich bezieht. Das war hier aber ohne weiteres zu ersehen.</w:t>
      </w:r>
    </w:p>
    <w:p>
      <w:r>
        <w:rPr>
          <w:b/>
        </w:rPr>
        <w:t>E. 2</w:t>
      </w:r>
    </w:p>
    <w:p>
      <w:r>
        <w:t>Eine andere Frage ist, ob der eingeklagte Satz ehrverletzend sei. In dieser Hinsicht erscheint es der Vorinstanz von Bedeutung, dass der Angeklagte nicht gesagt hat, Dr. M. habe in seinem Interesse gehandelt, sondern vielmehr geäussert hat, BGE 99 IV 148 S. 150 das Handeln von Dr. M. habe in dessen Interesse gelegen. Diese Unterscheidung ist jedoch belanglos. Entscheidend ist einzig, welchen Sinn der unbefangene Leser der eingeklagten Briefstelle nach den Umständen beilegen musste. Diesbezüglich wird im angefochtenen Urteil ausgeführt, ohne Bezugnahme auf eigennützige Beweggründe von Dr. M. habe lediglich objektiv festgestellt werden wollen, dass von der Klageeinleitung letztlich nur Dr. M. profitieren würde. Das aber stelle keine ehrverletzende Äusserung dar. Der Anwalt, der nur deshalb einen Prozess in Gang bringt, weil allein er daraus einen Nutzen zieht oder ziehen zu können glaubt, handelt ausschliesslich zu seinem eigenen Vorteil und nicht im Interesse seiner Klientschaft; er verletzt demnach seine Standespflichten. Wer einen Anwalt einer solchen Handlungsweise, die sich ein ehrbarer Mensch nicht zu eigen macht, bezichtigt, greift ihn in seiner persönlichen Ehre an. Der Beschwerdegegner hat im inkriminierten Satz freilich bloss die Worte "vor allem" und nicht die stärkere Form des "nur" verwendet. Das ändert indessen nichts am Sinn des ganzen Satzes, dessen erster Teil im Zusammenhang mit dem zweiten zu sehen ist. Der Anwalt hat bei der Ausübung seines Berufes in erster Linie die Interessen seiner Klientschaft zu wahren. Tut er dies nicht, sondern handelt er im eigenen Interesse, dann lässt er Pflichttreue und Verantwortungsbewusstsein vermissen. Wirft man ihm Unredlichkeit in der Vertretung seiner Mandanten vor, so heisst das, er verletze seine Standespflichten. Solche Beanstandungen des beruflichen Verhaltens eines Menschen sind geeignet, Schatten auf dessen Geltung als ehrbarer Mensch zu werfen. Die eingeklagte Briefstelle berührt somit ausser dem Ansehen von Dr. M. als Anwalt auch seine Geltung als ehrbarer Mann, ist folglich ehrverletzend im Sinne von Art. 173 ff. StGB . Das angefochtene Urteil ist deshalb aufzuheben und die Sache an die Vorinstanz zur Neubeurteilung im Sinne der Erwägungen und zur Stellungnahme zu allfällig angebotenen Entlastungsbeweisen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